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8" w:rsidRPr="008E2D0B" w:rsidRDefault="008E2D0B">
      <w:pPr>
        <w:pStyle w:val="Title"/>
        <w:rPr>
          <w:rFonts w:ascii="Bassett" w:hAnsi="Bassett"/>
          <w:sz w:val="40"/>
          <w:szCs w:val="40"/>
        </w:rPr>
      </w:pPr>
      <w:r w:rsidRPr="008E2D0B">
        <w:rPr>
          <w:rFonts w:ascii="Bassett" w:hAnsi="Bassett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6.3pt;margin-top:-8.7pt;width:64.3pt;height:75.75pt;z-index:1">
            <v:imagedata r:id="rId7" o:title="crazy hair" croptop="2974f" cropbottom="6245f" chromakey="white"/>
          </v:shape>
        </w:pict>
      </w:r>
      <w:r w:rsidR="007157C8" w:rsidRPr="008E2D0B">
        <w:rPr>
          <w:rFonts w:ascii="Bassett" w:hAnsi="Bassett"/>
          <w:sz w:val="40"/>
          <w:szCs w:val="40"/>
        </w:rPr>
        <w:t>Yearly</w:t>
      </w:r>
      <w:r>
        <w:rPr>
          <w:rFonts w:ascii="Bassett" w:hAnsi="Bassett"/>
          <w:sz w:val="40"/>
          <w:szCs w:val="40"/>
        </w:rPr>
        <w:t>-at-a-Glance</w:t>
      </w:r>
      <w:r w:rsidR="007157C8" w:rsidRPr="008E2D0B">
        <w:rPr>
          <w:rFonts w:ascii="Bassett" w:hAnsi="Bassett"/>
          <w:sz w:val="40"/>
          <w:szCs w:val="40"/>
        </w:rPr>
        <w:t xml:space="preserve"> 20</w:t>
      </w:r>
      <w:r>
        <w:rPr>
          <w:rFonts w:ascii="Bassett" w:hAnsi="Bassett"/>
          <w:sz w:val="40"/>
          <w:szCs w:val="40"/>
        </w:rPr>
        <w:t>1</w:t>
      </w:r>
      <w:r w:rsidR="007157C8" w:rsidRPr="008E2D0B">
        <w:rPr>
          <w:rFonts w:ascii="Bassett" w:hAnsi="Bassett"/>
          <w:sz w:val="40"/>
          <w:szCs w:val="40"/>
        </w:rPr>
        <w:t>0-1</w:t>
      </w:r>
      <w:r>
        <w:rPr>
          <w:rFonts w:ascii="Bassett" w:hAnsi="Bassett"/>
          <w:sz w:val="40"/>
          <w:szCs w:val="40"/>
        </w:rPr>
        <w:t>1</w:t>
      </w:r>
    </w:p>
    <w:p w:rsidR="008E2D0B" w:rsidRPr="008E2D0B" w:rsidRDefault="008E2D0B">
      <w:pPr>
        <w:pStyle w:val="Title"/>
        <w:rPr>
          <w:rFonts w:ascii="Bassett" w:hAnsi="Bassett"/>
          <w:sz w:val="32"/>
        </w:rPr>
      </w:pPr>
    </w:p>
    <w:p w:rsidR="007157C8" w:rsidRPr="00E00C82" w:rsidRDefault="007157C8">
      <w:pPr>
        <w:rPr>
          <w:rFonts w:ascii="Gill Sans MT" w:hAnsi="Gill Sans MT"/>
          <w:sz w:val="28"/>
        </w:rPr>
      </w:pPr>
      <w:r w:rsidRPr="00E00C82">
        <w:rPr>
          <w:rFonts w:ascii="Gill Sans MT" w:hAnsi="Gill Sans MT"/>
          <w:sz w:val="28"/>
        </w:rPr>
        <w:t xml:space="preserve"> </w:t>
      </w:r>
      <w:r w:rsidR="00CD724D" w:rsidRPr="00E00C82">
        <w:rPr>
          <w:rFonts w:ascii="Gill Sans MT" w:hAnsi="Gill Sans MT"/>
          <w:sz w:val="28"/>
        </w:rPr>
        <w:t>Building</w:t>
      </w:r>
      <w:r w:rsidRPr="00E00C82">
        <w:rPr>
          <w:rFonts w:ascii="Gill Sans MT" w:hAnsi="Gill Sans MT"/>
          <w:sz w:val="28"/>
        </w:rPr>
        <w:t>:  MMS</w:t>
      </w:r>
      <w:r w:rsidRPr="00E00C82">
        <w:rPr>
          <w:rFonts w:ascii="Gill Sans MT" w:hAnsi="Gill Sans MT"/>
          <w:sz w:val="28"/>
        </w:rPr>
        <w:tab/>
      </w:r>
      <w:r w:rsidRPr="00E00C82">
        <w:rPr>
          <w:rFonts w:ascii="Gill Sans MT" w:hAnsi="Gill Sans MT"/>
          <w:sz w:val="28"/>
        </w:rPr>
        <w:tab/>
        <w:t xml:space="preserve">         </w:t>
      </w:r>
      <w:r w:rsidRPr="00E00C82">
        <w:rPr>
          <w:rFonts w:ascii="Gill Sans MT" w:hAnsi="Gill Sans MT"/>
          <w:sz w:val="28"/>
        </w:rPr>
        <w:tab/>
        <w:t xml:space="preserve">      </w:t>
      </w:r>
      <w:r w:rsidR="00CD724D" w:rsidRPr="00E00C82">
        <w:rPr>
          <w:rFonts w:ascii="Gill Sans MT" w:hAnsi="Gill Sans MT"/>
          <w:sz w:val="28"/>
        </w:rPr>
        <w:t>Subject:</w:t>
      </w:r>
      <w:r w:rsidRPr="00E00C82">
        <w:rPr>
          <w:rFonts w:ascii="Gill Sans MT" w:hAnsi="Gill Sans MT"/>
          <w:sz w:val="28"/>
        </w:rPr>
        <w:t xml:space="preserve">  </w:t>
      </w:r>
      <w:r w:rsidR="00CD724D" w:rsidRPr="00E00C82">
        <w:rPr>
          <w:rFonts w:ascii="Gill Sans MT" w:hAnsi="Gill Sans MT"/>
          <w:sz w:val="28"/>
        </w:rPr>
        <w:t>Communication</w:t>
      </w:r>
      <w:r w:rsidRPr="00E00C82">
        <w:rPr>
          <w:rFonts w:ascii="Gill Sans MT" w:hAnsi="Gill Sans MT"/>
          <w:sz w:val="28"/>
        </w:rPr>
        <w:t xml:space="preserve"> Arts </w:t>
      </w:r>
      <w:r w:rsidRPr="00E00C82">
        <w:rPr>
          <w:rFonts w:ascii="Gill Sans MT" w:hAnsi="Gill Sans MT"/>
          <w:sz w:val="28"/>
        </w:rPr>
        <w:tab/>
      </w:r>
      <w:r w:rsidRPr="00E00C82">
        <w:rPr>
          <w:rFonts w:ascii="Gill Sans MT" w:hAnsi="Gill Sans MT"/>
          <w:sz w:val="28"/>
        </w:rPr>
        <w:tab/>
        <w:t xml:space="preserve">        </w:t>
      </w:r>
      <w:r w:rsidRPr="00E00C82">
        <w:rPr>
          <w:rFonts w:ascii="Gill Sans MT" w:hAnsi="Gill Sans MT"/>
          <w:sz w:val="28"/>
        </w:rPr>
        <w:tab/>
        <w:t xml:space="preserve">Grade:  </w:t>
      </w:r>
      <w:r w:rsidR="00E00C82">
        <w:rPr>
          <w:rFonts w:ascii="Gill Sans MT" w:hAnsi="Gill Sans MT"/>
          <w:sz w:val="28"/>
        </w:rPr>
        <w:t>8</w:t>
      </w:r>
      <w:r w:rsidRPr="00E00C82">
        <w:rPr>
          <w:rFonts w:ascii="Gill Sans MT" w:hAnsi="Gill Sans MT"/>
          <w:sz w:val="28"/>
          <w:vertAlign w:val="superscript"/>
        </w:rPr>
        <w:t>th</w:t>
      </w:r>
      <w:r w:rsidRPr="00E00C82">
        <w:rPr>
          <w:rFonts w:ascii="Gill Sans MT" w:hAnsi="Gill Sans MT"/>
          <w:sz w:val="28"/>
        </w:rPr>
        <w:t xml:space="preserve"> Grade</w:t>
      </w:r>
    </w:p>
    <w:p w:rsidR="007157C8" w:rsidRPr="00E00C82" w:rsidRDefault="007157C8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5"/>
        <w:gridCol w:w="2635"/>
        <w:gridCol w:w="2635"/>
        <w:gridCol w:w="2635"/>
        <w:gridCol w:w="2635"/>
      </w:tblGrid>
      <w:tr w:rsidR="007157C8" w:rsidRPr="00E00C82"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pStyle w:val="Heading1"/>
              <w:jc w:val="center"/>
              <w:rPr>
                <w:rFonts w:ascii="Gill Sans MT" w:hAnsi="Gill Sans MT"/>
                <w:color w:val="FFFFFF"/>
                <w:sz w:val="28"/>
              </w:rPr>
            </w:pPr>
            <w:r>
              <w:rPr>
                <w:rFonts w:ascii="Gill Sans MT" w:hAnsi="Gill Sans MT"/>
                <w:color w:val="FFFFFF"/>
                <w:sz w:val="28"/>
              </w:rPr>
              <w:t>1</w:t>
            </w:r>
            <w:r w:rsidRPr="00E83180">
              <w:rPr>
                <w:rFonts w:ascii="Gill Sans MT" w:hAnsi="Gill Sans MT"/>
                <w:color w:val="FFFFFF"/>
                <w:sz w:val="28"/>
                <w:vertAlign w:val="superscript"/>
              </w:rPr>
              <w:t>st</w:t>
            </w:r>
            <w:r>
              <w:rPr>
                <w:rFonts w:ascii="Gill Sans MT" w:hAnsi="Gill Sans MT"/>
                <w:color w:val="FFFFFF"/>
                <w:sz w:val="28"/>
              </w:rPr>
              <w:t xml:space="preserve"> quarter</w:t>
            </w:r>
          </w:p>
        </w:tc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jc w:val="center"/>
              <w:rPr>
                <w:rFonts w:ascii="Gill Sans MT" w:hAnsi="Gill Sans MT"/>
                <w:color w:val="FFFFFF"/>
                <w:sz w:val="28"/>
              </w:rPr>
            </w:pPr>
            <w:r>
              <w:rPr>
                <w:rFonts w:ascii="Gill Sans MT" w:hAnsi="Gill Sans MT"/>
                <w:color w:val="FFFFFF"/>
                <w:sz w:val="28"/>
              </w:rPr>
              <w:t>1</w:t>
            </w:r>
            <w:r w:rsidRPr="00E83180">
              <w:rPr>
                <w:rFonts w:ascii="Gill Sans MT" w:hAnsi="Gill Sans MT"/>
                <w:color w:val="FFFFFF"/>
                <w:sz w:val="28"/>
                <w:vertAlign w:val="superscript"/>
              </w:rPr>
              <w:t>st</w:t>
            </w:r>
            <w:r>
              <w:rPr>
                <w:rFonts w:ascii="Gill Sans MT" w:hAnsi="Gill Sans MT"/>
                <w:color w:val="FFFFFF"/>
                <w:sz w:val="28"/>
              </w:rPr>
              <w:t>/2</w:t>
            </w:r>
            <w:r w:rsidRPr="00E83180">
              <w:rPr>
                <w:rFonts w:ascii="Gill Sans MT" w:hAnsi="Gill Sans MT"/>
                <w:color w:val="FFFFFF"/>
                <w:sz w:val="28"/>
                <w:vertAlign w:val="superscript"/>
              </w:rPr>
              <w:t>nd</w:t>
            </w:r>
            <w:r>
              <w:rPr>
                <w:rFonts w:ascii="Gill Sans MT" w:hAnsi="Gill Sans MT"/>
                <w:color w:val="FFFFFF"/>
                <w:sz w:val="28"/>
              </w:rPr>
              <w:t xml:space="preserve"> Quarter</w:t>
            </w:r>
          </w:p>
        </w:tc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pStyle w:val="Heading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Pr="00E83180">
              <w:rPr>
                <w:rFonts w:ascii="Gill Sans MT" w:hAnsi="Gill Sans MT"/>
                <w:vertAlign w:val="superscript"/>
              </w:rPr>
              <w:t>nd</w:t>
            </w:r>
            <w:r>
              <w:rPr>
                <w:rFonts w:ascii="Gill Sans MT" w:hAnsi="Gill Sans MT"/>
              </w:rPr>
              <w:t xml:space="preserve"> quarter</w:t>
            </w:r>
          </w:p>
        </w:tc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jc w:val="center"/>
              <w:rPr>
                <w:rFonts w:ascii="Gill Sans MT" w:hAnsi="Gill Sans MT"/>
                <w:color w:val="FFFFFF"/>
                <w:sz w:val="28"/>
              </w:rPr>
            </w:pPr>
            <w:r>
              <w:rPr>
                <w:rFonts w:ascii="Gill Sans MT" w:hAnsi="Gill Sans MT"/>
                <w:color w:val="FFFFFF"/>
                <w:sz w:val="28"/>
              </w:rPr>
              <w:t>2</w:t>
            </w:r>
            <w:r w:rsidRPr="00E83180">
              <w:rPr>
                <w:rFonts w:ascii="Gill Sans MT" w:hAnsi="Gill Sans MT"/>
                <w:color w:val="FFFFFF"/>
                <w:sz w:val="28"/>
                <w:vertAlign w:val="superscript"/>
              </w:rPr>
              <w:t>nd</w:t>
            </w:r>
            <w:r>
              <w:rPr>
                <w:rFonts w:ascii="Gill Sans MT" w:hAnsi="Gill Sans MT"/>
                <w:color w:val="FFFFFF"/>
                <w:sz w:val="28"/>
              </w:rPr>
              <w:t xml:space="preserve"> quarter</w:t>
            </w:r>
          </w:p>
        </w:tc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pStyle w:val="Heading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E83180">
              <w:rPr>
                <w:rFonts w:ascii="Gill Sans MT" w:hAnsi="Gill Sans MT"/>
                <w:vertAlign w:val="superscript"/>
              </w:rPr>
              <w:t>rd</w:t>
            </w:r>
            <w:r>
              <w:rPr>
                <w:rFonts w:ascii="Gill Sans MT" w:hAnsi="Gill Sans MT"/>
              </w:rPr>
              <w:t xml:space="preserve"> quarter</w:t>
            </w:r>
          </w:p>
        </w:tc>
      </w:tr>
      <w:tr w:rsidR="007157C8" w:rsidRPr="00E00C82">
        <w:trPr>
          <w:trHeight w:val="3707"/>
        </w:trPr>
        <w:tc>
          <w:tcPr>
            <w:tcW w:w="2635" w:type="dxa"/>
          </w:tcPr>
          <w:p w:rsidR="007157C8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Figurative Language focus: Jargon/</w:t>
            </w:r>
            <w:r w:rsidRPr="00E00C82">
              <w:rPr>
                <w:rFonts w:ascii="Gill Sans MT" w:hAnsi="Gill Sans MT"/>
                <w:sz w:val="24"/>
              </w:rPr>
              <w:t>dialect/ slang</w:t>
            </w:r>
            <w:r w:rsidR="006765A7">
              <w:rPr>
                <w:rFonts w:ascii="Gill Sans MT" w:hAnsi="Gill Sans MT"/>
                <w:sz w:val="24"/>
              </w:rPr>
              <w:t>[2wk]</w:t>
            </w:r>
          </w:p>
          <w:p w:rsidR="00075D67" w:rsidRDefault="00075D67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Research plan/Jargon</w:t>
            </w:r>
            <w:r w:rsidR="006765A7">
              <w:rPr>
                <w:rFonts w:ascii="Gill Sans MT" w:hAnsi="Gill Sans MT"/>
                <w:sz w:val="24"/>
              </w:rPr>
              <w:t>[1wk]</w:t>
            </w:r>
          </w:p>
          <w:p w:rsidR="006765A7" w:rsidRPr="006765A7" w:rsidRDefault="00E00C82" w:rsidP="006765A7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Identification of Author’s Purpose</w:t>
            </w:r>
            <w:r w:rsidR="006765A7">
              <w:rPr>
                <w:rFonts w:ascii="Gill Sans MT" w:hAnsi="Gill Sans MT"/>
                <w:sz w:val="24"/>
              </w:rPr>
              <w:t>[1wk]</w:t>
            </w:r>
          </w:p>
          <w:p w:rsidR="00E00C82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Reading strategy focus: </w:t>
            </w:r>
            <w:r w:rsidR="00075D67">
              <w:rPr>
                <w:rFonts w:ascii="Gill Sans MT" w:hAnsi="Gill Sans MT"/>
                <w:sz w:val="24"/>
              </w:rPr>
              <w:t>infer</w:t>
            </w:r>
          </w:p>
          <w:p w:rsidR="008E2D0B" w:rsidRDefault="008E2D0B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AimsWeb</w:t>
            </w:r>
          </w:p>
          <w:p w:rsidR="006765A7" w:rsidRPr="00E00C82" w:rsidRDefault="006765A7" w:rsidP="006765A7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635" w:type="dxa"/>
          </w:tcPr>
          <w:p w:rsidR="007157C8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Identification of mood and </w:t>
            </w:r>
            <w:r w:rsidR="00CD724D">
              <w:rPr>
                <w:rFonts w:ascii="Gill Sans MT" w:hAnsi="Gill Sans MT"/>
                <w:sz w:val="24"/>
              </w:rPr>
              <w:t>foreshadowing</w:t>
            </w:r>
            <w:r w:rsidR="006765A7">
              <w:rPr>
                <w:rFonts w:ascii="Gill Sans MT" w:hAnsi="Gill Sans MT"/>
                <w:sz w:val="24"/>
              </w:rPr>
              <w:t xml:space="preserve"> *[5-6 wk]</w:t>
            </w:r>
          </w:p>
          <w:p w:rsidR="00E00C82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Reading strategy focus:  Visualization</w:t>
            </w:r>
          </w:p>
          <w:p w:rsidR="006765A7" w:rsidRDefault="006765A7" w:rsidP="006765A7">
            <w:pPr>
              <w:rPr>
                <w:rFonts w:ascii="Gill Sans MT" w:hAnsi="Gill Sans MT"/>
                <w:sz w:val="24"/>
              </w:rPr>
            </w:pPr>
          </w:p>
          <w:p w:rsidR="006765A7" w:rsidRDefault="006765A7" w:rsidP="006765A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*Irving webquest </w:t>
            </w:r>
          </w:p>
          <w:p w:rsidR="006765A7" w:rsidRDefault="006765A7" w:rsidP="006765A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Background building</w:t>
            </w:r>
          </w:p>
          <w:p w:rsidR="006765A7" w:rsidRDefault="006765A7" w:rsidP="006765A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*Irving Lit. circles</w:t>
            </w:r>
          </w:p>
          <w:p w:rsidR="008E2D0B" w:rsidRPr="00E00C82" w:rsidRDefault="008E2D0B" w:rsidP="008E2D0B">
            <w:pPr>
              <w:ind w:left="360"/>
              <w:rPr>
                <w:rFonts w:ascii="Gill Sans MT" w:hAnsi="Gill Sans MT"/>
                <w:sz w:val="24"/>
              </w:rPr>
            </w:pPr>
          </w:p>
        </w:tc>
        <w:tc>
          <w:tcPr>
            <w:tcW w:w="2635" w:type="dxa"/>
          </w:tcPr>
          <w:p w:rsidR="007157C8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Composing a business letter and envelope</w:t>
            </w:r>
          </w:p>
          <w:p w:rsidR="00E00C82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Email communications</w:t>
            </w:r>
          </w:p>
          <w:p w:rsidR="00E00C82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Office memos</w:t>
            </w:r>
          </w:p>
          <w:p w:rsidR="00075D67" w:rsidRDefault="00E00C82" w:rsidP="00075D67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Reading strategy </w:t>
            </w:r>
          </w:p>
          <w:p w:rsidR="00075D67" w:rsidRDefault="00075D67" w:rsidP="00075D67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Writing  for  a specific audience</w:t>
            </w:r>
          </w:p>
          <w:p w:rsidR="00E00C82" w:rsidRPr="00E00C82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focus: </w:t>
            </w:r>
          </w:p>
        </w:tc>
        <w:tc>
          <w:tcPr>
            <w:tcW w:w="2635" w:type="dxa"/>
          </w:tcPr>
          <w:p w:rsidR="007157C8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Read and follow multi-step directions</w:t>
            </w:r>
          </w:p>
          <w:p w:rsidR="00E00C82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Give clear concise multi-step directions</w:t>
            </w:r>
          </w:p>
          <w:p w:rsidR="00E00C82" w:rsidRPr="00E00C82" w:rsidRDefault="00E00C82" w:rsidP="00E00C82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Reading strategy focus:</w:t>
            </w:r>
          </w:p>
        </w:tc>
        <w:tc>
          <w:tcPr>
            <w:tcW w:w="2635" w:type="dxa"/>
          </w:tcPr>
          <w:p w:rsidR="007157C8" w:rsidRDefault="006B1876" w:rsidP="006B1876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Compose writing with the use of effective paragraphing, varying sentence structure, and use of cohesive devices</w:t>
            </w:r>
          </w:p>
          <w:p w:rsidR="006B1876" w:rsidRDefault="006B1876" w:rsidP="006B1876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Reading strategy focus:</w:t>
            </w:r>
          </w:p>
          <w:p w:rsidR="008E2D0B" w:rsidRPr="00E00C82" w:rsidRDefault="008E2D0B" w:rsidP="006B1876">
            <w:pPr>
              <w:numPr>
                <w:ilvl w:val="0"/>
                <w:numId w:val="11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AimsWeb</w:t>
            </w:r>
          </w:p>
        </w:tc>
      </w:tr>
      <w:tr w:rsidR="007157C8" w:rsidRPr="00E00C82" w:rsidTr="008E2D0B">
        <w:trPr>
          <w:trHeight w:val="242"/>
        </w:trPr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jc w:val="center"/>
              <w:rPr>
                <w:rFonts w:ascii="Gill Sans MT" w:hAnsi="Gill Sans MT"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color w:val="FFFFFF"/>
                <w:sz w:val="24"/>
                <w:szCs w:val="24"/>
              </w:rPr>
              <w:t>3</w:t>
            </w:r>
            <w:r w:rsidRPr="00E83180">
              <w:rPr>
                <w:rFonts w:ascii="Gill Sans MT" w:hAnsi="Gill Sans MT"/>
                <w:color w:val="FFFFFF"/>
                <w:sz w:val="24"/>
                <w:szCs w:val="24"/>
                <w:vertAlign w:val="superscript"/>
              </w:rPr>
              <w:t>rd</w:t>
            </w:r>
            <w:r>
              <w:rPr>
                <w:rFonts w:ascii="Gill Sans MT" w:hAnsi="Gill Sans MT"/>
                <w:color w:val="FFFFFF"/>
                <w:sz w:val="24"/>
                <w:szCs w:val="24"/>
              </w:rPr>
              <w:t xml:space="preserve"> quarter</w:t>
            </w:r>
          </w:p>
        </w:tc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jc w:val="center"/>
              <w:rPr>
                <w:rFonts w:ascii="Gill Sans MT" w:hAnsi="Gill Sans MT"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color w:val="FFFFFF"/>
                <w:sz w:val="24"/>
                <w:szCs w:val="24"/>
              </w:rPr>
              <w:t>3</w:t>
            </w:r>
            <w:r w:rsidRPr="00E83180">
              <w:rPr>
                <w:rFonts w:ascii="Gill Sans MT" w:hAnsi="Gill Sans MT"/>
                <w:color w:val="FFFFFF"/>
                <w:sz w:val="24"/>
                <w:szCs w:val="24"/>
                <w:vertAlign w:val="superscript"/>
              </w:rPr>
              <w:t>rd</w:t>
            </w:r>
            <w:r>
              <w:rPr>
                <w:rFonts w:ascii="Gill Sans MT" w:hAnsi="Gill Sans MT"/>
                <w:color w:val="FFFFFF"/>
                <w:sz w:val="24"/>
                <w:szCs w:val="24"/>
              </w:rPr>
              <w:t xml:space="preserve"> quarter/ 4</w:t>
            </w:r>
            <w:r w:rsidRPr="00E83180">
              <w:rPr>
                <w:rFonts w:ascii="Gill Sans MT" w:hAnsi="Gill Sans MT"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color w:val="FFFFFF"/>
                <w:sz w:val="24"/>
                <w:szCs w:val="24"/>
              </w:rPr>
              <w:t xml:space="preserve"> quarter</w:t>
            </w:r>
          </w:p>
        </w:tc>
        <w:tc>
          <w:tcPr>
            <w:tcW w:w="2635" w:type="dxa"/>
            <w:shd w:val="clear" w:color="auto" w:fill="000000"/>
          </w:tcPr>
          <w:p w:rsidR="007157C8" w:rsidRPr="00E00C82" w:rsidRDefault="00E83180">
            <w:pPr>
              <w:jc w:val="center"/>
              <w:rPr>
                <w:rFonts w:ascii="Gill Sans MT" w:hAnsi="Gill Sans MT"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color w:val="FFFFFF"/>
                <w:sz w:val="24"/>
                <w:szCs w:val="24"/>
              </w:rPr>
              <w:t>4</w:t>
            </w:r>
            <w:r w:rsidRPr="00E83180">
              <w:rPr>
                <w:rFonts w:ascii="Gill Sans MT" w:hAnsi="Gill Sans MT"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color w:val="FFFFFF"/>
                <w:sz w:val="24"/>
                <w:szCs w:val="24"/>
              </w:rPr>
              <w:t xml:space="preserve"> quarter</w:t>
            </w:r>
          </w:p>
        </w:tc>
        <w:tc>
          <w:tcPr>
            <w:tcW w:w="2635" w:type="dxa"/>
            <w:shd w:val="clear" w:color="auto" w:fill="000000"/>
          </w:tcPr>
          <w:p w:rsidR="007157C8" w:rsidRPr="00E00C82" w:rsidRDefault="007157C8">
            <w:pPr>
              <w:jc w:val="center"/>
              <w:rPr>
                <w:rFonts w:ascii="Gill Sans MT" w:hAnsi="Gill Sans MT"/>
                <w:color w:val="FFFFFF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000000"/>
          </w:tcPr>
          <w:p w:rsidR="007157C8" w:rsidRPr="00E00C82" w:rsidRDefault="007157C8">
            <w:pPr>
              <w:jc w:val="center"/>
              <w:rPr>
                <w:rFonts w:ascii="Gill Sans MT" w:hAnsi="Gill Sans MT"/>
                <w:color w:val="FFFFFF"/>
                <w:sz w:val="24"/>
                <w:szCs w:val="24"/>
              </w:rPr>
            </w:pPr>
          </w:p>
        </w:tc>
      </w:tr>
      <w:tr w:rsidR="007157C8" w:rsidRPr="00E00C82">
        <w:trPr>
          <w:trHeight w:val="3950"/>
        </w:trPr>
        <w:tc>
          <w:tcPr>
            <w:tcW w:w="2635" w:type="dxa"/>
          </w:tcPr>
          <w:p w:rsidR="008E2D0B" w:rsidRDefault="006B1876" w:rsidP="008E2D0B">
            <w:pPr>
              <w:numPr>
                <w:ilvl w:val="0"/>
                <w:numId w:val="1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Define and identify symbolism</w:t>
            </w:r>
          </w:p>
          <w:p w:rsidR="006B1876" w:rsidRPr="008E2D0B" w:rsidRDefault="006B1876" w:rsidP="008E2D0B">
            <w:pPr>
              <w:numPr>
                <w:ilvl w:val="0"/>
                <w:numId w:val="15"/>
              </w:numPr>
              <w:rPr>
                <w:rFonts w:ascii="Gill Sans MT" w:hAnsi="Gill Sans MT"/>
                <w:sz w:val="24"/>
                <w:szCs w:val="24"/>
              </w:rPr>
            </w:pPr>
            <w:r w:rsidRPr="008E2D0B">
              <w:rPr>
                <w:rFonts w:ascii="Gill Sans MT" w:hAnsi="Gill Sans MT"/>
                <w:sz w:val="24"/>
                <w:szCs w:val="24"/>
              </w:rPr>
              <w:t xml:space="preserve">Reading strategy focus: </w:t>
            </w:r>
          </w:p>
        </w:tc>
        <w:tc>
          <w:tcPr>
            <w:tcW w:w="2635" w:type="dxa"/>
          </w:tcPr>
          <w:p w:rsidR="007157C8" w:rsidRPr="00E00C82" w:rsidRDefault="00E00C82" w:rsidP="008E2D0B">
            <w:pPr>
              <w:numPr>
                <w:ilvl w:val="0"/>
                <w:numId w:val="12"/>
              </w:numPr>
              <w:ind w:left="605"/>
              <w:rPr>
                <w:rFonts w:ascii="Gill Sans MT" w:hAnsi="Gill Sans MT"/>
                <w:sz w:val="24"/>
                <w:szCs w:val="24"/>
              </w:rPr>
            </w:pPr>
            <w:r w:rsidRPr="00E00C82">
              <w:rPr>
                <w:rFonts w:ascii="Gill Sans MT" w:hAnsi="Gill Sans MT"/>
                <w:sz w:val="24"/>
                <w:szCs w:val="24"/>
              </w:rPr>
              <w:t>Create a focused research plan</w:t>
            </w:r>
          </w:p>
          <w:p w:rsidR="00E00C82" w:rsidRDefault="00E00C82" w:rsidP="008E2D0B">
            <w:pPr>
              <w:numPr>
                <w:ilvl w:val="0"/>
                <w:numId w:val="12"/>
              </w:numPr>
              <w:ind w:left="605"/>
              <w:rPr>
                <w:rFonts w:ascii="Gill Sans MT" w:hAnsi="Gill Sans MT"/>
                <w:sz w:val="24"/>
                <w:szCs w:val="24"/>
              </w:rPr>
            </w:pPr>
            <w:r w:rsidRPr="00E00C82">
              <w:rPr>
                <w:rFonts w:ascii="Gill Sans MT" w:hAnsi="Gill Sans MT"/>
                <w:sz w:val="24"/>
                <w:szCs w:val="24"/>
              </w:rPr>
              <w:t>Locate and  use primary and secondary resources</w:t>
            </w:r>
          </w:p>
          <w:p w:rsidR="008E2D0B" w:rsidRDefault="008E2D0B" w:rsidP="008E2D0B">
            <w:pPr>
              <w:numPr>
                <w:ilvl w:val="0"/>
                <w:numId w:val="12"/>
              </w:numPr>
              <w:ind w:left="605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AimsWeb</w:t>
            </w:r>
          </w:p>
          <w:p w:rsidR="00E00C82" w:rsidRPr="00E00C82" w:rsidRDefault="00E00C82" w:rsidP="00E83180">
            <w:pPr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35" w:type="dxa"/>
          </w:tcPr>
          <w:p w:rsidR="008E2D0B" w:rsidRDefault="00E83180" w:rsidP="008E2D0B">
            <w:pPr>
              <w:numPr>
                <w:ilvl w:val="0"/>
                <w:numId w:val="1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Note taking</w:t>
            </w:r>
          </w:p>
          <w:p w:rsidR="008E2D0B" w:rsidRDefault="008E2D0B" w:rsidP="008E2D0B">
            <w:pPr>
              <w:numPr>
                <w:ilvl w:val="0"/>
                <w:numId w:val="1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Record relevant information</w:t>
            </w:r>
          </w:p>
          <w:p w:rsidR="00E83180" w:rsidRPr="008E2D0B" w:rsidRDefault="00E83180" w:rsidP="008E2D0B">
            <w:pPr>
              <w:numPr>
                <w:ilvl w:val="0"/>
                <w:numId w:val="16"/>
              </w:numPr>
              <w:rPr>
                <w:rFonts w:ascii="Gill Sans MT" w:hAnsi="Gill Sans MT"/>
                <w:sz w:val="24"/>
                <w:szCs w:val="24"/>
              </w:rPr>
            </w:pPr>
            <w:r w:rsidRPr="008E2D0B">
              <w:rPr>
                <w:rFonts w:ascii="Gill Sans MT" w:hAnsi="Gill Sans MT"/>
                <w:sz w:val="24"/>
                <w:szCs w:val="24"/>
              </w:rPr>
              <w:t xml:space="preserve">Correctly cite sources </w:t>
            </w:r>
          </w:p>
          <w:p w:rsidR="00E83180" w:rsidRDefault="00E83180" w:rsidP="006B1876">
            <w:pPr>
              <w:rPr>
                <w:rFonts w:ascii="Gill Sans MT" w:hAnsi="Gill Sans MT"/>
                <w:sz w:val="24"/>
                <w:szCs w:val="24"/>
              </w:rPr>
            </w:pPr>
          </w:p>
          <w:p w:rsidR="00E83180" w:rsidRDefault="00E83180" w:rsidP="006B1876">
            <w:pPr>
              <w:rPr>
                <w:rFonts w:ascii="Gill Sans MT" w:hAnsi="Gill Sans MT"/>
                <w:sz w:val="24"/>
                <w:szCs w:val="24"/>
              </w:rPr>
            </w:pPr>
          </w:p>
          <w:p w:rsidR="007157C8" w:rsidRDefault="006B1876" w:rsidP="006B1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Civil War Lit. Cir</w:t>
            </w:r>
            <w:r w:rsidR="00CD724D">
              <w:rPr>
                <w:rFonts w:ascii="Gill Sans MT" w:hAnsi="Gill Sans MT"/>
                <w:sz w:val="24"/>
                <w:szCs w:val="24"/>
              </w:rPr>
              <w:t>cl</w:t>
            </w:r>
            <w:r>
              <w:rPr>
                <w:rFonts w:ascii="Gill Sans MT" w:hAnsi="Gill Sans MT"/>
                <w:sz w:val="24"/>
                <w:szCs w:val="24"/>
              </w:rPr>
              <w:t>es</w:t>
            </w:r>
          </w:p>
          <w:p w:rsidR="006B1876" w:rsidRPr="00E00C82" w:rsidRDefault="006B1876" w:rsidP="006B1876">
            <w:pPr>
              <w:numPr>
                <w:ilvl w:val="0"/>
                <w:numId w:val="1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Reading strategy focus: </w:t>
            </w:r>
            <w:r w:rsidR="00CD724D">
              <w:rPr>
                <w:rFonts w:ascii="Gill Sans MT" w:hAnsi="Gill Sans MT"/>
                <w:sz w:val="24"/>
                <w:szCs w:val="24"/>
              </w:rPr>
              <w:t>synthesizing</w:t>
            </w:r>
          </w:p>
        </w:tc>
        <w:tc>
          <w:tcPr>
            <w:tcW w:w="2635" w:type="dxa"/>
          </w:tcPr>
          <w:p w:rsidR="007157C8" w:rsidRPr="00E00C82" w:rsidRDefault="007157C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35" w:type="dxa"/>
          </w:tcPr>
          <w:p w:rsidR="007157C8" w:rsidRPr="00E00C82" w:rsidRDefault="007157C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157C8" w:rsidRPr="00E00C82" w:rsidRDefault="007157C8">
      <w:pPr>
        <w:rPr>
          <w:sz w:val="24"/>
          <w:szCs w:val="24"/>
        </w:rPr>
      </w:pPr>
    </w:p>
    <w:sectPr w:rsidR="007157C8" w:rsidRPr="00E00C82" w:rsidSect="008E2D0B">
      <w:pgSz w:w="15840" w:h="12240" w:orient="landscape" w:code="1"/>
      <w:pgMar w:top="81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E2" w:rsidRDefault="008569E2">
      <w:r>
        <w:separator/>
      </w:r>
    </w:p>
  </w:endnote>
  <w:endnote w:type="continuationSeparator" w:id="1">
    <w:p w:rsidR="008569E2" w:rsidRDefault="0085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ess BT">
    <w:panose1 w:val="03080802040402020204"/>
    <w:charset w:val="00"/>
    <w:family w:val="script"/>
    <w:pitch w:val="variable"/>
    <w:sig w:usb0="00000087" w:usb1="00000000" w:usb2="00000000" w:usb3="00000000" w:csb0="0000001B" w:csb1="00000000"/>
  </w:font>
  <w:font w:name="Basse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E2" w:rsidRDefault="008569E2">
      <w:r>
        <w:separator/>
      </w:r>
    </w:p>
  </w:footnote>
  <w:footnote w:type="continuationSeparator" w:id="1">
    <w:p w:rsidR="008569E2" w:rsidRDefault="0085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01C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AA64227"/>
    <w:multiLevelType w:val="hybridMultilevel"/>
    <w:tmpl w:val="30F82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CB3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C496309"/>
    <w:multiLevelType w:val="hybridMultilevel"/>
    <w:tmpl w:val="575E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3456"/>
    <w:multiLevelType w:val="hybridMultilevel"/>
    <w:tmpl w:val="0BCE47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22C7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0D931D0"/>
    <w:multiLevelType w:val="hybridMultilevel"/>
    <w:tmpl w:val="9A4AB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FB12CA"/>
    <w:multiLevelType w:val="hybridMultilevel"/>
    <w:tmpl w:val="FD8A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D1C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554A5009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5E897240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EB80BCD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647D4BB5"/>
    <w:multiLevelType w:val="singleLevel"/>
    <w:tmpl w:val="3822D3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3">
    <w:nsid w:val="65FC547D"/>
    <w:multiLevelType w:val="singleLevel"/>
    <w:tmpl w:val="43BCDEE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701B06C2"/>
    <w:multiLevelType w:val="hybridMultilevel"/>
    <w:tmpl w:val="F7DC5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A10EA"/>
    <w:multiLevelType w:val="hybridMultilevel"/>
    <w:tmpl w:val="2C2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7A"/>
    <w:rsid w:val="00075D67"/>
    <w:rsid w:val="0027527A"/>
    <w:rsid w:val="006765A7"/>
    <w:rsid w:val="006B1876"/>
    <w:rsid w:val="007157C8"/>
    <w:rsid w:val="00723B95"/>
    <w:rsid w:val="00744D9E"/>
    <w:rsid w:val="008569E2"/>
    <w:rsid w:val="008E2D0B"/>
    <w:rsid w:val="009573BA"/>
    <w:rsid w:val="00964EE0"/>
    <w:rsid w:val="00BB6394"/>
    <w:rsid w:val="00CD724D"/>
    <w:rsid w:val="00E00C82"/>
    <w:rsid w:val="00E10FBE"/>
    <w:rsid w:val="00E83180"/>
    <w:rsid w:val="00FA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BA"/>
  </w:style>
  <w:style w:type="paragraph" w:styleId="Heading1">
    <w:name w:val="heading 1"/>
    <w:basedOn w:val="Normal"/>
    <w:next w:val="Normal"/>
    <w:qFormat/>
    <w:rsid w:val="009573BA"/>
    <w:pPr>
      <w:keepNext/>
      <w:outlineLvl w:val="0"/>
    </w:pPr>
    <w:rPr>
      <w:rFonts w:ascii="Impress BT" w:hAnsi="Impress BT"/>
      <w:sz w:val="24"/>
    </w:rPr>
  </w:style>
  <w:style w:type="paragraph" w:styleId="Heading2">
    <w:name w:val="heading 2"/>
    <w:basedOn w:val="Normal"/>
    <w:next w:val="Normal"/>
    <w:qFormat/>
    <w:rsid w:val="009573BA"/>
    <w:pPr>
      <w:keepNext/>
      <w:outlineLvl w:val="1"/>
    </w:pPr>
    <w:rPr>
      <w:rFonts w:ascii="Impress BT" w:hAnsi="Impress BT"/>
      <w:color w:val="FFFFFF"/>
      <w:sz w:val="28"/>
    </w:rPr>
  </w:style>
  <w:style w:type="paragraph" w:styleId="Heading3">
    <w:name w:val="heading 3"/>
    <w:basedOn w:val="Normal"/>
    <w:next w:val="Normal"/>
    <w:qFormat/>
    <w:rsid w:val="009573BA"/>
    <w:pPr>
      <w:keepNext/>
      <w:jc w:val="center"/>
      <w:outlineLvl w:val="2"/>
    </w:pPr>
    <w:rPr>
      <w:rFonts w:ascii="Impress BT" w:hAnsi="Impress BT"/>
      <w:color w:val="FFFFFF"/>
      <w:sz w:val="28"/>
    </w:rPr>
  </w:style>
  <w:style w:type="paragraph" w:styleId="Heading4">
    <w:name w:val="heading 4"/>
    <w:basedOn w:val="Normal"/>
    <w:next w:val="Normal"/>
    <w:qFormat/>
    <w:rsid w:val="009573BA"/>
    <w:pPr>
      <w:keepNext/>
      <w:outlineLvl w:val="3"/>
    </w:pPr>
    <w:rPr>
      <w:rFonts w:ascii="Impress BT" w:hAnsi="Impress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73BA"/>
    <w:pPr>
      <w:jc w:val="center"/>
    </w:pPr>
    <w:rPr>
      <w:rFonts w:ascii="Impress BT" w:hAnsi="Impress BT"/>
      <w:sz w:val="28"/>
      <w:u w:val="single"/>
    </w:rPr>
  </w:style>
  <w:style w:type="paragraph" w:styleId="BodyText">
    <w:name w:val="Body Text"/>
    <w:basedOn w:val="Normal"/>
    <w:semiHidden/>
    <w:rsid w:val="009573BA"/>
    <w:rPr>
      <w:rFonts w:ascii="Impress BT" w:hAnsi="Impress BT"/>
      <w:sz w:val="24"/>
    </w:rPr>
  </w:style>
  <w:style w:type="paragraph" w:styleId="Header">
    <w:name w:val="header"/>
    <w:basedOn w:val="Normal"/>
    <w:semiHidden/>
    <w:rsid w:val="00957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573B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Curriculum Map</vt:lpstr>
    </vt:vector>
  </TitlesOfParts>
  <Company>Mexico School District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Curriculum Map</dc:title>
  <dc:subject/>
  <dc:creator>Mexico Middle School</dc:creator>
  <cp:keywords/>
  <cp:lastModifiedBy> </cp:lastModifiedBy>
  <cp:revision>4</cp:revision>
  <cp:lastPrinted>2010-04-26T17:53:00Z</cp:lastPrinted>
  <dcterms:created xsi:type="dcterms:W3CDTF">2010-04-26T15:38:00Z</dcterms:created>
  <dcterms:modified xsi:type="dcterms:W3CDTF">2010-04-26T20:12:00Z</dcterms:modified>
</cp:coreProperties>
</file>